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73" w:rsidRDefault="000F7673" w:rsidP="000F7673">
      <w:pPr>
        <w:pStyle w:val="Heading3"/>
        <w:ind w:left="0" w:right="51"/>
      </w:pPr>
      <w:r>
        <w:t>Veer Narmad South Gujarat University</w:t>
      </w:r>
    </w:p>
    <w:p w:rsidR="000F7673" w:rsidRDefault="000F7673" w:rsidP="000F7673">
      <w:pPr>
        <w:pStyle w:val="Heading4"/>
        <w:ind w:left="0" w:right="29"/>
      </w:pPr>
      <w:bookmarkStart w:id="0" w:name="_bookmark17"/>
      <w:bookmarkStart w:id="1" w:name="_GoBack"/>
      <w:bookmarkEnd w:id="0"/>
      <w:r>
        <w:t>303 – Banking, Insurance &amp; Financial Services</w:t>
      </w:r>
    </w:p>
    <w:bookmarkEnd w:id="1"/>
    <w:p w:rsidR="000F7673" w:rsidRDefault="000F7673" w:rsidP="000F7673">
      <w:pPr>
        <w:pStyle w:val="Heading6"/>
        <w:tabs>
          <w:tab w:val="left" w:pos="5862"/>
        </w:tabs>
        <w:ind w:left="100"/>
      </w:pPr>
      <w:r>
        <w:t>Second</w:t>
      </w:r>
      <w:r>
        <w:rPr>
          <w:spacing w:val="-2"/>
        </w:rPr>
        <w:t xml:space="preserve"> </w:t>
      </w:r>
      <w:r>
        <w:t>Year</w:t>
      </w:r>
      <w:r>
        <w:rPr>
          <w:spacing w:val="-3"/>
        </w:rPr>
        <w:t xml:space="preserve"> </w:t>
      </w:r>
      <w:r>
        <w:t>BBA</w:t>
      </w:r>
      <w:r>
        <w:t xml:space="preserve"> </w:t>
      </w:r>
      <w:r>
        <w:t>(Semester3)</w:t>
      </w:r>
      <w:r>
        <w:tab/>
        <w:t>With Effect from</w:t>
      </w:r>
      <w:r>
        <w:rPr>
          <w:spacing w:val="-3"/>
        </w:rPr>
        <w:t xml:space="preserve"> </w:t>
      </w:r>
      <w:r>
        <w:t>June2020</w:t>
      </w:r>
    </w:p>
    <w:p w:rsidR="000F7673" w:rsidRDefault="000F7673" w:rsidP="000F7673">
      <w:pPr>
        <w:pStyle w:val="BodyText"/>
        <w:spacing w:before="6"/>
        <w:rPr>
          <w:b/>
          <w:sz w:val="21"/>
        </w:rPr>
      </w:pPr>
    </w:p>
    <w:p w:rsidR="000F7673" w:rsidRDefault="000F7673" w:rsidP="000F7673">
      <w:pPr>
        <w:pStyle w:val="Heading7"/>
      </w:pPr>
      <w:bookmarkStart w:id="2" w:name="Objective_of_the_course"/>
      <w:bookmarkEnd w:id="2"/>
      <w:r>
        <w:t>Objective of the</w:t>
      </w:r>
      <w:r>
        <w:rPr>
          <w:spacing w:val="-11"/>
        </w:rPr>
        <w:t xml:space="preserve"> </w:t>
      </w:r>
      <w:r>
        <w:t>course</w:t>
      </w:r>
    </w:p>
    <w:p w:rsidR="000F7673" w:rsidRDefault="000F7673" w:rsidP="000F7673">
      <w:pPr>
        <w:pStyle w:val="BodyText"/>
        <w:spacing w:before="3"/>
        <w:rPr>
          <w:b/>
          <w:sz w:val="20"/>
        </w:rPr>
      </w:pPr>
    </w:p>
    <w:p w:rsidR="000F7673" w:rsidRDefault="000F7673" w:rsidP="000F7673">
      <w:pPr>
        <w:pStyle w:val="ListParagraph"/>
        <w:numPr>
          <w:ilvl w:val="1"/>
          <w:numId w:val="2"/>
        </w:numPr>
        <w:tabs>
          <w:tab w:val="left" w:pos="820"/>
          <w:tab w:val="left" w:pos="821"/>
        </w:tabs>
        <w:spacing w:line="273" w:lineRule="auto"/>
        <w:ind w:left="821" w:right="872"/>
        <w:rPr>
          <w:sz w:val="24"/>
        </w:rPr>
      </w:pPr>
      <w:r>
        <w:rPr>
          <w:sz w:val="24"/>
        </w:rPr>
        <w:t>To</w:t>
      </w:r>
      <w:r>
        <w:rPr>
          <w:spacing w:val="-7"/>
          <w:sz w:val="24"/>
        </w:rPr>
        <w:t xml:space="preserve"> </w:t>
      </w:r>
      <w:r>
        <w:rPr>
          <w:sz w:val="24"/>
        </w:rPr>
        <w:t>equip</w:t>
      </w:r>
      <w:r>
        <w:rPr>
          <w:spacing w:val="-6"/>
          <w:sz w:val="24"/>
        </w:rPr>
        <w:t xml:space="preserve"> </w:t>
      </w:r>
      <w:r>
        <w:rPr>
          <w:sz w:val="24"/>
        </w:rPr>
        <w:t>students</w:t>
      </w:r>
      <w:r>
        <w:rPr>
          <w:spacing w:val="-4"/>
          <w:sz w:val="24"/>
        </w:rPr>
        <w:t xml:space="preserve"> </w:t>
      </w:r>
      <w:r>
        <w:rPr>
          <w:sz w:val="24"/>
        </w:rPr>
        <w:t>to</w:t>
      </w:r>
      <w:r>
        <w:rPr>
          <w:spacing w:val="-7"/>
          <w:sz w:val="24"/>
        </w:rPr>
        <w:t xml:space="preserve"> </w:t>
      </w:r>
      <w:r>
        <w:rPr>
          <w:sz w:val="24"/>
        </w:rPr>
        <w:t>the complex</w:t>
      </w:r>
      <w:r>
        <w:rPr>
          <w:spacing w:val="-3"/>
          <w:sz w:val="24"/>
        </w:rPr>
        <w:t xml:space="preserve"> </w:t>
      </w:r>
      <w:r>
        <w:rPr>
          <w:sz w:val="24"/>
        </w:rPr>
        <w:t>structure of</w:t>
      </w:r>
      <w:r>
        <w:rPr>
          <w:spacing w:val="-6"/>
          <w:sz w:val="24"/>
        </w:rPr>
        <w:t xml:space="preserve"> </w:t>
      </w:r>
      <w:r>
        <w:rPr>
          <w:sz w:val="24"/>
        </w:rPr>
        <w:t>the</w:t>
      </w:r>
      <w:r>
        <w:rPr>
          <w:spacing w:val="-1"/>
          <w:sz w:val="24"/>
        </w:rPr>
        <w:t xml:space="preserve"> </w:t>
      </w:r>
      <w:r>
        <w:rPr>
          <w:sz w:val="24"/>
        </w:rPr>
        <w:t>Banking,</w:t>
      </w:r>
      <w:r>
        <w:rPr>
          <w:spacing w:val="-3"/>
          <w:sz w:val="24"/>
        </w:rPr>
        <w:t xml:space="preserve"> </w:t>
      </w:r>
      <w:r>
        <w:rPr>
          <w:sz w:val="24"/>
        </w:rPr>
        <w:t>insurance</w:t>
      </w:r>
      <w:r>
        <w:rPr>
          <w:spacing w:val="-4"/>
          <w:sz w:val="24"/>
        </w:rPr>
        <w:t xml:space="preserve"> </w:t>
      </w:r>
      <w:r>
        <w:rPr>
          <w:sz w:val="24"/>
        </w:rPr>
        <w:t>and</w:t>
      </w:r>
      <w:r>
        <w:rPr>
          <w:spacing w:val="-2"/>
          <w:sz w:val="24"/>
        </w:rPr>
        <w:t xml:space="preserve"> </w:t>
      </w:r>
      <w:r>
        <w:rPr>
          <w:sz w:val="24"/>
        </w:rPr>
        <w:t>few FinancialServicesSectorandenablethemtotakefinancialservicesavailable in judiciousmanner</w:t>
      </w:r>
    </w:p>
    <w:p w:rsidR="000F7673" w:rsidRDefault="000F7673" w:rsidP="000F7673">
      <w:pPr>
        <w:pStyle w:val="Heading7"/>
        <w:spacing w:before="203"/>
      </w:pPr>
      <w:bookmarkStart w:id="3" w:name="Teaching_Pedagogy"/>
      <w:bookmarkEnd w:id="3"/>
      <w:r>
        <w:t>Teaching Pedagogy</w:t>
      </w:r>
    </w:p>
    <w:p w:rsidR="000F7673" w:rsidRDefault="000F7673" w:rsidP="000F7673">
      <w:pPr>
        <w:pStyle w:val="BodyText"/>
        <w:spacing w:before="8"/>
        <w:rPr>
          <w:b/>
          <w:sz w:val="19"/>
        </w:rPr>
      </w:pPr>
    </w:p>
    <w:p w:rsidR="000F7673" w:rsidRDefault="000F7673" w:rsidP="000F7673">
      <w:pPr>
        <w:pStyle w:val="BodyText"/>
        <w:ind w:left="100"/>
      </w:pPr>
      <w:r>
        <w:t>Lectures, Guest Lectures, Seminars, Field Visit, Presentations, Audio Visual Material</w:t>
      </w:r>
    </w:p>
    <w:p w:rsidR="000F7673" w:rsidRDefault="000F7673" w:rsidP="000F7673">
      <w:pPr>
        <w:pStyle w:val="BodyText"/>
        <w:rPr>
          <w:sz w:val="20"/>
        </w:rPr>
      </w:pPr>
    </w:p>
    <w:p w:rsidR="000F7673" w:rsidRDefault="000F7673" w:rsidP="000F7673">
      <w:pPr>
        <w:pStyle w:val="Heading7"/>
        <w:tabs>
          <w:tab w:val="left" w:pos="8023"/>
        </w:tabs>
        <w:spacing w:before="1"/>
      </w:pPr>
      <w:bookmarkStart w:id="4" w:name="Unit_1:_IntroductiontoBanking_(25%)"/>
      <w:bookmarkEnd w:id="4"/>
      <w:r>
        <w:t>Unit</w:t>
      </w:r>
      <w:r>
        <w:rPr>
          <w:spacing w:val="-7"/>
        </w:rPr>
        <w:t xml:space="preserve"> </w:t>
      </w:r>
      <w:r>
        <w:t>1:</w:t>
      </w:r>
      <w:r>
        <w:rPr>
          <w:spacing w:val="-4"/>
        </w:rPr>
        <w:t xml:space="preserve"> </w:t>
      </w:r>
      <w:r>
        <w:t>Introduction</w:t>
      </w:r>
      <w:r>
        <w:t xml:space="preserve"> </w:t>
      </w:r>
      <w:r>
        <w:t>to</w:t>
      </w:r>
      <w:r>
        <w:t xml:space="preserve"> </w:t>
      </w:r>
      <w:r>
        <w:t>Banking</w:t>
      </w:r>
      <w:r>
        <w:tab/>
        <w:t>(25%)</w:t>
      </w:r>
    </w:p>
    <w:p w:rsidR="000F7673" w:rsidRDefault="000F7673" w:rsidP="000F7673">
      <w:pPr>
        <w:pStyle w:val="BodyText"/>
        <w:rPr>
          <w:b/>
          <w:sz w:val="20"/>
        </w:rPr>
      </w:pPr>
    </w:p>
    <w:p w:rsidR="000F7673" w:rsidRDefault="000F7673" w:rsidP="000F7673">
      <w:pPr>
        <w:pStyle w:val="BodyText"/>
        <w:spacing w:line="278" w:lineRule="auto"/>
        <w:ind w:left="100" w:right="132"/>
        <w:jc w:val="both"/>
      </w:pPr>
      <w:r>
        <w:t>Basics of Banking: Basic Concepts in Banking - Banker-Customer Relationships – Know Your Customer Guidelines - Negotiable instruments – Bankers’ Duties and Responsibilities - Types of Customers &amp; Various Types of Accounts - Deposit Products – Services Rendered by Banks</w:t>
      </w:r>
    </w:p>
    <w:p w:rsidR="000F7673" w:rsidRDefault="000F7673" w:rsidP="000F7673">
      <w:pPr>
        <w:pStyle w:val="BodyText"/>
        <w:spacing w:line="276" w:lineRule="auto"/>
        <w:ind w:left="100" w:right="140"/>
        <w:jc w:val="both"/>
      </w:pPr>
      <w:r>
        <w:t>- Principles of Lending - Approach to Lending &amp; Steps in Lending - Credit Management &amp; Credit Monitoring - Recovery &amp; Modes of Recovery and Management of Non-Performing Assets - Basics of Risk Management in Banks</w:t>
      </w:r>
    </w:p>
    <w:p w:rsidR="000F7673" w:rsidRDefault="000F7673" w:rsidP="000F7673">
      <w:pPr>
        <w:pStyle w:val="Heading7"/>
        <w:tabs>
          <w:tab w:val="left" w:pos="8023"/>
        </w:tabs>
        <w:spacing w:before="193"/>
      </w:pPr>
      <w:bookmarkStart w:id="5" w:name="Unit2:E-Banking_(25%)"/>
      <w:bookmarkEnd w:id="5"/>
      <w:r>
        <w:t>Unit2:</w:t>
      </w:r>
      <w:r>
        <w:t xml:space="preserve"> </w:t>
      </w:r>
      <w:r>
        <w:t>E-Banking</w:t>
      </w:r>
      <w:r>
        <w:tab/>
        <w:t>(25%)</w:t>
      </w:r>
    </w:p>
    <w:p w:rsidR="000F7673" w:rsidRDefault="000F7673" w:rsidP="000F7673">
      <w:pPr>
        <w:pStyle w:val="BodyText"/>
        <w:rPr>
          <w:b/>
          <w:sz w:val="20"/>
        </w:rPr>
      </w:pPr>
    </w:p>
    <w:p w:rsidR="000F7673" w:rsidRDefault="000F7673" w:rsidP="000F7673">
      <w:pPr>
        <w:pStyle w:val="BodyText"/>
        <w:spacing w:line="276" w:lineRule="auto"/>
        <w:ind w:left="100" w:right="134" w:firstLine="52"/>
        <w:jc w:val="both"/>
      </w:pPr>
      <w:r>
        <w:t>Electronic Banking: Current Trends and Role ofinformation&amp; Communication Technology in Banking - Core Banking Solutions vis-a-vis Traditional Banking - Banking Technology – Alternate Delivery Channels – ATMs, Credit/Debit Cards/Mobile Banking / Internet Banking etc - Electronic Funds Transfers – Real Time Gross Settlements (RTGS) &amp; National Electronic Funds Transfer (NEFT) - IT Security in Banks.</w:t>
      </w:r>
    </w:p>
    <w:p w:rsidR="000F7673" w:rsidRDefault="000F7673" w:rsidP="000F7673">
      <w:pPr>
        <w:pStyle w:val="Heading7"/>
        <w:tabs>
          <w:tab w:val="left" w:pos="8023"/>
        </w:tabs>
        <w:spacing w:before="198"/>
      </w:pPr>
      <w:bookmarkStart w:id="6" w:name="Unit_3:InsuranceServices_(25%)"/>
      <w:bookmarkEnd w:id="6"/>
      <w:r>
        <w:t>Unit</w:t>
      </w:r>
      <w:r>
        <w:rPr>
          <w:spacing w:val="-7"/>
        </w:rPr>
        <w:t xml:space="preserve"> </w:t>
      </w:r>
      <w:r>
        <w:t>3:</w:t>
      </w:r>
      <w:r>
        <w:t xml:space="preserve"> </w:t>
      </w:r>
      <w:r>
        <w:t>Insurance</w:t>
      </w:r>
      <w:r>
        <w:t xml:space="preserve"> </w:t>
      </w:r>
      <w:r>
        <w:t>Services</w:t>
      </w:r>
      <w:r>
        <w:tab/>
        <w:t>(25%)</w:t>
      </w:r>
    </w:p>
    <w:p w:rsidR="000F7673" w:rsidRDefault="000F7673" w:rsidP="000F7673">
      <w:pPr>
        <w:pStyle w:val="BodyText"/>
        <w:spacing w:before="5"/>
        <w:rPr>
          <w:b/>
          <w:sz w:val="20"/>
        </w:rPr>
      </w:pPr>
    </w:p>
    <w:p w:rsidR="000F7673" w:rsidRDefault="000F7673" w:rsidP="000F7673">
      <w:pPr>
        <w:pStyle w:val="BodyText"/>
        <w:spacing w:line="276" w:lineRule="auto"/>
        <w:ind w:left="100" w:right="138"/>
        <w:jc w:val="both"/>
      </w:pPr>
      <w:r>
        <w:t>Insurance: Meaning – Nature and Importance, Insurance Regulation: IRDA Regulations – Insurance Contract – Agent Norms.</w:t>
      </w:r>
    </w:p>
    <w:p w:rsidR="000F7673" w:rsidRDefault="000F7673" w:rsidP="000F7673">
      <w:pPr>
        <w:pStyle w:val="BodyText"/>
        <w:spacing w:before="201" w:line="276" w:lineRule="auto"/>
        <w:ind w:left="100" w:right="142"/>
        <w:jc w:val="both"/>
      </w:pPr>
      <w:r>
        <w:t>Life Insurance: Life Insurance - Definitions of Life Insurance, Advantages of Life Insurance, Essential Features of Life Insurance, Brief Introduction of Whole life policy and endowment policy, procedure for the settlement of claims, nomination and assignment, annuity, Mediclaim policy.</w:t>
      </w:r>
    </w:p>
    <w:p w:rsidR="000F7673" w:rsidRDefault="000F7673" w:rsidP="000F7673">
      <w:pPr>
        <w:pStyle w:val="BodyText"/>
        <w:spacing w:before="203" w:line="276" w:lineRule="auto"/>
        <w:ind w:left="100" w:right="134"/>
        <w:jc w:val="both"/>
      </w:pPr>
      <w:r>
        <w:t>General Insurance: Concepts of Marine Insurance – Fire Insurance – Automobile Insurance – Home Insurance – Medical Insurance – Social Security Insurance.</w:t>
      </w:r>
    </w:p>
    <w:p w:rsidR="000F7673" w:rsidRDefault="000F7673" w:rsidP="000F7673">
      <w:pPr>
        <w:spacing w:line="276" w:lineRule="auto"/>
        <w:jc w:val="both"/>
        <w:sectPr w:rsidR="000F7673">
          <w:pgSz w:w="11910" w:h="16840"/>
          <w:pgMar w:top="1400" w:right="1300" w:bottom="1200" w:left="1340" w:header="0" w:footer="1008" w:gutter="0"/>
          <w:cols w:space="720"/>
        </w:sectPr>
      </w:pPr>
    </w:p>
    <w:p w:rsidR="000F7673" w:rsidRDefault="000F7673" w:rsidP="000F7673">
      <w:pPr>
        <w:pStyle w:val="Heading7"/>
        <w:tabs>
          <w:tab w:val="left" w:pos="8023"/>
        </w:tabs>
        <w:spacing w:before="29"/>
      </w:pPr>
      <w:bookmarkStart w:id="7" w:name="Unit_4:MutualFundsAnd_Other_Services__(2"/>
      <w:bookmarkEnd w:id="7"/>
      <w:r>
        <w:lastRenderedPageBreak/>
        <w:t>Unit 4:</w:t>
      </w:r>
      <w:r>
        <w:t xml:space="preserve"> </w:t>
      </w:r>
      <w:r>
        <w:t>Mutual</w:t>
      </w:r>
      <w:r>
        <w:t xml:space="preserve"> </w:t>
      </w:r>
      <w:r>
        <w:t>Funds</w:t>
      </w:r>
      <w:r>
        <w:t xml:space="preserve"> </w:t>
      </w:r>
      <w:r>
        <w:t>And</w:t>
      </w:r>
      <w:r>
        <w:rPr>
          <w:spacing w:val="-9"/>
        </w:rPr>
        <w:t xml:space="preserve"> </w:t>
      </w:r>
      <w:r>
        <w:t>Other</w:t>
      </w:r>
      <w:r>
        <w:rPr>
          <w:spacing w:val="-3"/>
        </w:rPr>
        <w:t xml:space="preserve"> </w:t>
      </w:r>
      <w:r>
        <w:t>Services</w:t>
      </w:r>
      <w:r>
        <w:tab/>
        <w:t>(25%)</w:t>
      </w:r>
    </w:p>
    <w:p w:rsidR="000F7673" w:rsidRDefault="000F7673" w:rsidP="000F7673">
      <w:pPr>
        <w:pStyle w:val="BodyText"/>
        <w:rPr>
          <w:b/>
          <w:sz w:val="20"/>
        </w:rPr>
      </w:pPr>
    </w:p>
    <w:p w:rsidR="000F7673" w:rsidRDefault="000F7673" w:rsidP="000F7673">
      <w:pPr>
        <w:pStyle w:val="BodyText"/>
        <w:spacing w:before="1" w:line="276" w:lineRule="auto"/>
        <w:ind w:left="100" w:right="152"/>
        <w:jc w:val="both"/>
      </w:pPr>
      <w:r>
        <w:t>Mutual Funds: Introduction, Types of mutual funds, Organization of mutual funds, Regulation of Mutual Funds: Brief introduction to SEBI guidelines</w:t>
      </w:r>
    </w:p>
    <w:p w:rsidR="000F7673" w:rsidRDefault="000F7673" w:rsidP="000F7673">
      <w:pPr>
        <w:pStyle w:val="BodyText"/>
        <w:spacing w:before="200" w:line="276" w:lineRule="auto"/>
        <w:ind w:left="100" w:right="138"/>
        <w:jc w:val="both"/>
      </w:pPr>
      <w:r>
        <w:t>Leasing and Hire Purchase: concepts of leasing, types of leasing – financial &amp; operating lease, direct lease and sales &amp; lease back, single investor lease and leveraged lease, Domestic lease and International lease. Hire purchase: concept, legal aspects of HP, financial evaluation – the</w:t>
      </w:r>
      <w:r>
        <w:rPr>
          <w:spacing w:val="-2"/>
        </w:rPr>
        <w:t xml:space="preserve"> </w:t>
      </w:r>
      <w:r>
        <w:t>hirer’sview.</w:t>
      </w:r>
    </w:p>
    <w:p w:rsidR="000F7673" w:rsidRDefault="000F7673" w:rsidP="000F7673">
      <w:pPr>
        <w:pStyle w:val="BodyText"/>
        <w:spacing w:before="194" w:line="283" w:lineRule="auto"/>
        <w:ind w:left="100" w:right="144"/>
        <w:jc w:val="both"/>
      </w:pPr>
      <w:r>
        <w:t>Venture Capital: Concept, history and evolution of VC, the venture investment process, various steps in venture financing, incubation financing.</w:t>
      </w:r>
    </w:p>
    <w:p w:rsidR="000F7673" w:rsidRDefault="000F7673" w:rsidP="000F7673">
      <w:pPr>
        <w:pStyle w:val="Heading7"/>
        <w:spacing w:before="182"/>
      </w:pPr>
      <w:r>
        <w:t>Suggested Readings:</w:t>
      </w:r>
    </w:p>
    <w:p w:rsidR="000F7673" w:rsidRDefault="000F7673" w:rsidP="000F7673">
      <w:pPr>
        <w:pStyle w:val="BodyText"/>
        <w:spacing w:before="5"/>
        <w:rPr>
          <w:b/>
          <w:sz w:val="20"/>
        </w:rPr>
      </w:pPr>
    </w:p>
    <w:p w:rsidR="000F7673" w:rsidRDefault="000F7673" w:rsidP="000F7673">
      <w:pPr>
        <w:pStyle w:val="ListParagraph"/>
        <w:numPr>
          <w:ilvl w:val="0"/>
          <w:numId w:val="1"/>
        </w:numPr>
        <w:tabs>
          <w:tab w:val="left" w:pos="355"/>
        </w:tabs>
        <w:spacing w:before="1" w:line="276" w:lineRule="auto"/>
        <w:ind w:right="345" w:firstLine="0"/>
        <w:rPr>
          <w:i/>
          <w:sz w:val="24"/>
        </w:rPr>
      </w:pPr>
      <w:r>
        <w:rPr>
          <w:i/>
          <w:sz w:val="24"/>
        </w:rPr>
        <w:t>Bhattacharya, H., Banking Strategy, Credit Appraisal and Lending Decisions, 2nd Edition, Oxford University</w:t>
      </w:r>
      <w:r>
        <w:rPr>
          <w:i/>
          <w:spacing w:val="-6"/>
          <w:sz w:val="24"/>
        </w:rPr>
        <w:t xml:space="preserve"> </w:t>
      </w:r>
      <w:r>
        <w:rPr>
          <w:i/>
          <w:sz w:val="24"/>
        </w:rPr>
        <w:t>Press,2011.</w:t>
      </w:r>
    </w:p>
    <w:p w:rsidR="000F7673" w:rsidRDefault="000F7673" w:rsidP="000F7673">
      <w:pPr>
        <w:pStyle w:val="ListParagraph"/>
        <w:numPr>
          <w:ilvl w:val="0"/>
          <w:numId w:val="1"/>
        </w:numPr>
        <w:tabs>
          <w:tab w:val="left" w:pos="336"/>
        </w:tabs>
        <w:spacing w:before="3"/>
        <w:ind w:left="335" w:hanging="236"/>
        <w:rPr>
          <w:i/>
          <w:sz w:val="24"/>
        </w:rPr>
      </w:pPr>
      <w:r>
        <w:rPr>
          <w:i/>
          <w:sz w:val="24"/>
        </w:rPr>
        <w:t>Heffernan, S., Modern Banking, John Wiley and</w:t>
      </w:r>
      <w:r>
        <w:rPr>
          <w:i/>
          <w:spacing w:val="-24"/>
          <w:sz w:val="24"/>
        </w:rPr>
        <w:t xml:space="preserve"> </w:t>
      </w:r>
      <w:r>
        <w:rPr>
          <w:i/>
          <w:sz w:val="24"/>
        </w:rPr>
        <w:t>Sons,2005.</w:t>
      </w:r>
    </w:p>
    <w:p w:rsidR="000F7673" w:rsidRDefault="000F7673" w:rsidP="000F7673">
      <w:pPr>
        <w:pStyle w:val="ListParagraph"/>
        <w:numPr>
          <w:ilvl w:val="0"/>
          <w:numId w:val="1"/>
        </w:numPr>
        <w:tabs>
          <w:tab w:val="left" w:pos="336"/>
        </w:tabs>
        <w:spacing w:before="43"/>
        <w:ind w:left="335" w:hanging="236"/>
        <w:rPr>
          <w:i/>
          <w:sz w:val="24"/>
        </w:rPr>
      </w:pPr>
      <w:r>
        <w:rPr>
          <w:i/>
          <w:sz w:val="24"/>
        </w:rPr>
        <w:t>Imam, A., Principles and Practice of Life Insurance in India, Anmol</w:t>
      </w:r>
      <w:r>
        <w:rPr>
          <w:i/>
          <w:spacing w:val="-31"/>
          <w:sz w:val="24"/>
        </w:rPr>
        <w:t xml:space="preserve"> </w:t>
      </w:r>
      <w:r>
        <w:rPr>
          <w:i/>
          <w:sz w:val="24"/>
        </w:rPr>
        <w:t>Publisher,2011.</w:t>
      </w:r>
    </w:p>
    <w:p w:rsidR="000F7673" w:rsidRDefault="000F7673" w:rsidP="000F7673">
      <w:pPr>
        <w:pStyle w:val="ListParagraph"/>
        <w:numPr>
          <w:ilvl w:val="0"/>
          <w:numId w:val="1"/>
        </w:numPr>
        <w:tabs>
          <w:tab w:val="left" w:pos="355"/>
        </w:tabs>
        <w:spacing w:before="43" w:line="276" w:lineRule="auto"/>
        <w:ind w:right="356" w:firstLine="0"/>
        <w:rPr>
          <w:i/>
          <w:sz w:val="24"/>
        </w:rPr>
      </w:pPr>
      <w:r>
        <w:rPr>
          <w:i/>
          <w:sz w:val="24"/>
        </w:rPr>
        <w:t>Indian Institute of Banking and Finance, Principles and Practices of Banking, 2nd Edition, Macmillan India</w:t>
      </w:r>
      <w:r>
        <w:rPr>
          <w:i/>
          <w:spacing w:val="-3"/>
          <w:sz w:val="24"/>
        </w:rPr>
        <w:t xml:space="preserve"> </w:t>
      </w:r>
      <w:r>
        <w:rPr>
          <w:i/>
          <w:sz w:val="24"/>
        </w:rPr>
        <w:t>Ltd.,2012.</w:t>
      </w:r>
    </w:p>
    <w:p w:rsidR="000F7673" w:rsidRDefault="000F7673" w:rsidP="000F7673">
      <w:pPr>
        <w:pStyle w:val="ListParagraph"/>
        <w:numPr>
          <w:ilvl w:val="0"/>
          <w:numId w:val="1"/>
        </w:numPr>
        <w:tabs>
          <w:tab w:val="left" w:pos="365"/>
        </w:tabs>
        <w:spacing w:line="278" w:lineRule="auto"/>
        <w:ind w:right="446" w:firstLine="0"/>
        <w:rPr>
          <w:i/>
          <w:sz w:val="24"/>
        </w:rPr>
      </w:pPr>
      <w:r>
        <w:rPr>
          <w:i/>
          <w:sz w:val="24"/>
        </w:rPr>
        <w:t>Maheshwari,</w:t>
      </w:r>
      <w:r>
        <w:rPr>
          <w:i/>
          <w:spacing w:val="-5"/>
          <w:sz w:val="24"/>
        </w:rPr>
        <w:t xml:space="preserve"> </w:t>
      </w:r>
      <w:r>
        <w:rPr>
          <w:i/>
          <w:sz w:val="24"/>
        </w:rPr>
        <w:t>S.</w:t>
      </w:r>
      <w:r>
        <w:rPr>
          <w:i/>
          <w:spacing w:val="-2"/>
          <w:sz w:val="24"/>
        </w:rPr>
        <w:t xml:space="preserve"> </w:t>
      </w:r>
      <w:r>
        <w:rPr>
          <w:i/>
          <w:sz w:val="24"/>
        </w:rPr>
        <w:t>N.</w:t>
      </w:r>
      <w:r>
        <w:rPr>
          <w:i/>
          <w:spacing w:val="-1"/>
          <w:sz w:val="24"/>
        </w:rPr>
        <w:t xml:space="preserve"> </w:t>
      </w:r>
      <w:r>
        <w:rPr>
          <w:i/>
          <w:sz w:val="24"/>
        </w:rPr>
        <w:t>and</w:t>
      </w:r>
      <w:r>
        <w:rPr>
          <w:i/>
          <w:spacing w:val="-2"/>
          <w:sz w:val="24"/>
        </w:rPr>
        <w:t xml:space="preserve"> </w:t>
      </w:r>
      <w:r>
        <w:rPr>
          <w:i/>
          <w:sz w:val="24"/>
        </w:rPr>
        <w:t>Maheshwari,</w:t>
      </w:r>
      <w:r>
        <w:rPr>
          <w:i/>
          <w:spacing w:val="-5"/>
          <w:sz w:val="24"/>
        </w:rPr>
        <w:t xml:space="preserve"> </w:t>
      </w:r>
      <w:r>
        <w:rPr>
          <w:i/>
          <w:sz w:val="24"/>
        </w:rPr>
        <w:t>S.K.,</w:t>
      </w:r>
      <w:r>
        <w:rPr>
          <w:i/>
          <w:spacing w:val="-5"/>
          <w:sz w:val="24"/>
        </w:rPr>
        <w:t xml:space="preserve"> </w:t>
      </w:r>
      <w:r>
        <w:rPr>
          <w:i/>
          <w:sz w:val="24"/>
        </w:rPr>
        <w:t>Banking</w:t>
      </w:r>
      <w:r>
        <w:rPr>
          <w:i/>
          <w:spacing w:val="-7"/>
          <w:sz w:val="24"/>
        </w:rPr>
        <w:t xml:space="preserve"> </w:t>
      </w:r>
      <w:r>
        <w:rPr>
          <w:i/>
          <w:sz w:val="24"/>
        </w:rPr>
        <w:t>Law</w:t>
      </w:r>
      <w:r>
        <w:rPr>
          <w:i/>
          <w:spacing w:val="-2"/>
          <w:sz w:val="24"/>
        </w:rPr>
        <w:t xml:space="preserve"> </w:t>
      </w:r>
      <w:r>
        <w:rPr>
          <w:i/>
          <w:sz w:val="24"/>
        </w:rPr>
        <w:t>and</w:t>
      </w:r>
      <w:r>
        <w:rPr>
          <w:i/>
          <w:spacing w:val="-2"/>
          <w:sz w:val="24"/>
        </w:rPr>
        <w:t xml:space="preserve"> </w:t>
      </w:r>
      <w:r>
        <w:rPr>
          <w:i/>
          <w:sz w:val="24"/>
        </w:rPr>
        <w:t>Practice,</w:t>
      </w:r>
      <w:r>
        <w:rPr>
          <w:i/>
          <w:spacing w:val="-5"/>
          <w:sz w:val="24"/>
        </w:rPr>
        <w:t xml:space="preserve"> </w:t>
      </w:r>
      <w:r>
        <w:rPr>
          <w:i/>
          <w:sz w:val="24"/>
        </w:rPr>
        <w:t>Kalyani</w:t>
      </w:r>
      <w:r>
        <w:rPr>
          <w:i/>
          <w:spacing w:val="-5"/>
          <w:sz w:val="24"/>
        </w:rPr>
        <w:t xml:space="preserve"> </w:t>
      </w:r>
      <w:r>
        <w:rPr>
          <w:i/>
          <w:sz w:val="24"/>
        </w:rPr>
        <w:t>Publishers, 2005.</w:t>
      </w:r>
    </w:p>
    <w:p w:rsidR="000F7673" w:rsidRDefault="000F7673" w:rsidP="000F7673">
      <w:pPr>
        <w:pStyle w:val="ListParagraph"/>
        <w:numPr>
          <w:ilvl w:val="0"/>
          <w:numId w:val="1"/>
        </w:numPr>
        <w:tabs>
          <w:tab w:val="left" w:pos="346"/>
        </w:tabs>
        <w:spacing w:line="276" w:lineRule="auto"/>
        <w:ind w:right="277" w:firstLine="0"/>
        <w:rPr>
          <w:i/>
          <w:sz w:val="24"/>
        </w:rPr>
      </w:pPr>
      <w:r>
        <w:rPr>
          <w:i/>
          <w:sz w:val="24"/>
        </w:rPr>
        <w:t>Mittal,</w:t>
      </w:r>
      <w:r>
        <w:rPr>
          <w:i/>
          <w:spacing w:val="-5"/>
          <w:sz w:val="24"/>
        </w:rPr>
        <w:t xml:space="preserve"> </w:t>
      </w:r>
      <w:r>
        <w:rPr>
          <w:i/>
          <w:sz w:val="24"/>
        </w:rPr>
        <w:t>R.K,</w:t>
      </w:r>
      <w:r>
        <w:rPr>
          <w:i/>
          <w:spacing w:val="-5"/>
          <w:sz w:val="24"/>
        </w:rPr>
        <w:t xml:space="preserve"> </w:t>
      </w:r>
      <w:r>
        <w:rPr>
          <w:i/>
          <w:sz w:val="24"/>
        </w:rPr>
        <w:t>Saini,</w:t>
      </w:r>
      <w:r>
        <w:rPr>
          <w:i/>
          <w:spacing w:val="-4"/>
          <w:sz w:val="24"/>
        </w:rPr>
        <w:t xml:space="preserve"> </w:t>
      </w:r>
      <w:r>
        <w:rPr>
          <w:i/>
          <w:sz w:val="24"/>
        </w:rPr>
        <w:t>A.K.</w:t>
      </w:r>
      <w:r>
        <w:rPr>
          <w:i/>
          <w:spacing w:val="-1"/>
          <w:sz w:val="24"/>
        </w:rPr>
        <w:t xml:space="preserve"> </w:t>
      </w:r>
      <w:r>
        <w:rPr>
          <w:i/>
          <w:sz w:val="24"/>
        </w:rPr>
        <w:t>and</w:t>
      </w:r>
      <w:r>
        <w:rPr>
          <w:i/>
          <w:spacing w:val="-1"/>
          <w:sz w:val="24"/>
        </w:rPr>
        <w:t xml:space="preserve"> </w:t>
      </w:r>
      <w:r>
        <w:rPr>
          <w:i/>
          <w:sz w:val="24"/>
        </w:rPr>
        <w:t>Dhingra,</w:t>
      </w:r>
      <w:r>
        <w:rPr>
          <w:i/>
          <w:spacing w:val="-5"/>
          <w:sz w:val="24"/>
        </w:rPr>
        <w:t xml:space="preserve"> </w:t>
      </w:r>
      <w:r>
        <w:rPr>
          <w:i/>
          <w:sz w:val="24"/>
        </w:rPr>
        <w:t>S.,</w:t>
      </w:r>
      <w:r>
        <w:rPr>
          <w:i/>
          <w:spacing w:val="-5"/>
          <w:sz w:val="24"/>
        </w:rPr>
        <w:t xml:space="preserve"> </w:t>
      </w:r>
      <w:r>
        <w:rPr>
          <w:i/>
          <w:sz w:val="24"/>
        </w:rPr>
        <w:t>Emerging</w:t>
      </w:r>
      <w:r>
        <w:rPr>
          <w:i/>
          <w:spacing w:val="-1"/>
          <w:sz w:val="24"/>
        </w:rPr>
        <w:t xml:space="preserve"> </w:t>
      </w:r>
      <w:r>
        <w:rPr>
          <w:i/>
          <w:sz w:val="24"/>
        </w:rPr>
        <w:t>Trends</w:t>
      </w:r>
      <w:r>
        <w:rPr>
          <w:i/>
          <w:spacing w:val="-5"/>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Banking</w:t>
      </w:r>
      <w:r>
        <w:rPr>
          <w:i/>
          <w:spacing w:val="-2"/>
          <w:sz w:val="24"/>
        </w:rPr>
        <w:t xml:space="preserve"> </w:t>
      </w:r>
      <w:r>
        <w:rPr>
          <w:i/>
          <w:sz w:val="24"/>
        </w:rPr>
        <w:t>Sector,</w:t>
      </w:r>
      <w:r>
        <w:rPr>
          <w:i/>
          <w:spacing w:val="-5"/>
          <w:sz w:val="24"/>
        </w:rPr>
        <w:t xml:space="preserve"> </w:t>
      </w:r>
      <w:r>
        <w:rPr>
          <w:i/>
          <w:sz w:val="24"/>
        </w:rPr>
        <w:t>Macmillan Publishers</w:t>
      </w:r>
      <w:r>
        <w:rPr>
          <w:i/>
          <w:spacing w:val="-5"/>
          <w:sz w:val="24"/>
        </w:rPr>
        <w:t xml:space="preserve"> </w:t>
      </w:r>
      <w:r>
        <w:rPr>
          <w:i/>
          <w:sz w:val="24"/>
        </w:rPr>
        <w:t>India,2008.</w:t>
      </w:r>
    </w:p>
    <w:p w:rsidR="000F7673" w:rsidRDefault="000F7673" w:rsidP="000F7673">
      <w:pPr>
        <w:pStyle w:val="ListParagraph"/>
        <w:numPr>
          <w:ilvl w:val="0"/>
          <w:numId w:val="1"/>
        </w:numPr>
        <w:tabs>
          <w:tab w:val="left" w:pos="336"/>
        </w:tabs>
        <w:spacing w:before="4"/>
        <w:ind w:left="335" w:hanging="236"/>
        <w:rPr>
          <w:i/>
          <w:sz w:val="24"/>
        </w:rPr>
      </w:pPr>
      <w:r>
        <w:rPr>
          <w:i/>
          <w:sz w:val="24"/>
        </w:rPr>
        <w:t>Muraleedharan, Modern Banking: Theory and Practice, PHI</w:t>
      </w:r>
      <w:r>
        <w:rPr>
          <w:i/>
          <w:spacing w:val="-22"/>
          <w:sz w:val="24"/>
        </w:rPr>
        <w:t xml:space="preserve"> </w:t>
      </w:r>
      <w:r>
        <w:rPr>
          <w:i/>
          <w:sz w:val="24"/>
        </w:rPr>
        <w:t>Learning,2009.</w:t>
      </w:r>
    </w:p>
    <w:p w:rsidR="000F7673" w:rsidRDefault="000F7673" w:rsidP="000F7673">
      <w:pPr>
        <w:pStyle w:val="ListParagraph"/>
        <w:numPr>
          <w:ilvl w:val="0"/>
          <w:numId w:val="1"/>
        </w:numPr>
        <w:tabs>
          <w:tab w:val="left" w:pos="384"/>
        </w:tabs>
        <w:spacing w:before="33" w:line="278" w:lineRule="auto"/>
        <w:ind w:right="757" w:firstLine="0"/>
        <w:rPr>
          <w:i/>
          <w:sz w:val="24"/>
        </w:rPr>
      </w:pPr>
      <w:r>
        <w:rPr>
          <w:i/>
          <w:sz w:val="24"/>
        </w:rPr>
        <w:t>Rose P. and Hudgins, S., Bank Management and Financial Services,</w:t>
      </w:r>
      <w:r>
        <w:rPr>
          <w:i/>
          <w:spacing w:val="-39"/>
          <w:sz w:val="24"/>
        </w:rPr>
        <w:t xml:space="preserve"> </w:t>
      </w:r>
      <w:r>
        <w:rPr>
          <w:i/>
          <w:sz w:val="24"/>
        </w:rPr>
        <w:t>7th Edition, Tata McGraw-Hill,2010.</w:t>
      </w:r>
    </w:p>
    <w:p w:rsidR="000F7673" w:rsidRDefault="000F7673" w:rsidP="000F7673">
      <w:pPr>
        <w:pStyle w:val="ListParagraph"/>
        <w:numPr>
          <w:ilvl w:val="0"/>
          <w:numId w:val="1"/>
        </w:numPr>
        <w:tabs>
          <w:tab w:val="left" w:pos="389"/>
        </w:tabs>
        <w:spacing w:line="276" w:lineRule="auto"/>
        <w:ind w:right="800" w:firstLine="0"/>
        <w:rPr>
          <w:i/>
          <w:sz w:val="24"/>
        </w:rPr>
      </w:pPr>
      <w:r>
        <w:rPr>
          <w:i/>
          <w:sz w:val="24"/>
        </w:rPr>
        <w:t>Suresh, P. and Paul, J., Management of Banking and Financial Services, 2nd</w:t>
      </w:r>
      <w:r>
        <w:rPr>
          <w:i/>
          <w:spacing w:val="-30"/>
          <w:sz w:val="24"/>
        </w:rPr>
        <w:t xml:space="preserve"> </w:t>
      </w:r>
      <w:r>
        <w:rPr>
          <w:i/>
          <w:sz w:val="24"/>
        </w:rPr>
        <w:t>Edition, Pearson,2010.</w:t>
      </w:r>
    </w:p>
    <w:p w:rsidR="000F7673" w:rsidRDefault="000F7673" w:rsidP="000F7673">
      <w:pPr>
        <w:pStyle w:val="ListParagraph"/>
        <w:numPr>
          <w:ilvl w:val="0"/>
          <w:numId w:val="1"/>
        </w:numPr>
        <w:tabs>
          <w:tab w:val="left" w:pos="495"/>
        </w:tabs>
        <w:spacing w:before="1" w:line="276" w:lineRule="auto"/>
        <w:ind w:right="549" w:firstLine="0"/>
        <w:rPr>
          <w:i/>
          <w:sz w:val="24"/>
        </w:rPr>
      </w:pPr>
      <w:r>
        <w:rPr>
          <w:i/>
          <w:sz w:val="24"/>
        </w:rPr>
        <w:t>Tripathy, M., Mishra, S. and Mishra, K.C., General Insurance Business Operations</w:t>
      </w:r>
      <w:r>
        <w:rPr>
          <w:i/>
          <w:spacing w:val="-38"/>
          <w:sz w:val="24"/>
        </w:rPr>
        <w:t xml:space="preserve"> </w:t>
      </w:r>
      <w:r>
        <w:rPr>
          <w:i/>
          <w:sz w:val="24"/>
        </w:rPr>
        <w:t>and Decision Making, Cengage</w:t>
      </w:r>
      <w:r>
        <w:rPr>
          <w:i/>
          <w:spacing w:val="-7"/>
          <w:sz w:val="24"/>
        </w:rPr>
        <w:t xml:space="preserve"> </w:t>
      </w:r>
      <w:r>
        <w:rPr>
          <w:i/>
          <w:sz w:val="24"/>
        </w:rPr>
        <w:t>Learning,2009.</w:t>
      </w:r>
    </w:p>
    <w:p w:rsidR="000F7673" w:rsidRDefault="000F7673" w:rsidP="000F7673">
      <w:pPr>
        <w:pStyle w:val="ListParagraph"/>
        <w:numPr>
          <w:ilvl w:val="0"/>
          <w:numId w:val="1"/>
        </w:numPr>
        <w:tabs>
          <w:tab w:val="left" w:pos="457"/>
        </w:tabs>
        <w:spacing w:before="3"/>
        <w:ind w:left="456" w:hanging="357"/>
        <w:rPr>
          <w:i/>
          <w:sz w:val="24"/>
        </w:rPr>
      </w:pPr>
      <w:r>
        <w:rPr>
          <w:i/>
          <w:sz w:val="24"/>
        </w:rPr>
        <w:t>Varshney, P.N., Banking Law and Practice, Sultan Chand and</w:t>
      </w:r>
      <w:r>
        <w:rPr>
          <w:i/>
          <w:spacing w:val="-27"/>
          <w:sz w:val="24"/>
        </w:rPr>
        <w:t xml:space="preserve"> </w:t>
      </w:r>
      <w:r>
        <w:rPr>
          <w:i/>
          <w:sz w:val="24"/>
        </w:rPr>
        <w:t>Sons,2009.</w:t>
      </w:r>
    </w:p>
    <w:p w:rsidR="000F7673" w:rsidRDefault="000F7673" w:rsidP="000F7673">
      <w:pPr>
        <w:pStyle w:val="ListParagraph"/>
        <w:numPr>
          <w:ilvl w:val="0"/>
          <w:numId w:val="1"/>
        </w:numPr>
        <w:tabs>
          <w:tab w:val="left" w:pos="457"/>
        </w:tabs>
        <w:spacing w:before="38"/>
        <w:ind w:left="456" w:hanging="357"/>
        <w:rPr>
          <w:i/>
          <w:sz w:val="24"/>
        </w:rPr>
      </w:pPr>
      <w:r>
        <w:rPr>
          <w:i/>
          <w:sz w:val="24"/>
        </w:rPr>
        <w:t>Insurance Principles and Practice,</w:t>
      </w:r>
      <w:r>
        <w:rPr>
          <w:i/>
          <w:spacing w:val="-11"/>
          <w:sz w:val="24"/>
        </w:rPr>
        <w:t xml:space="preserve"> </w:t>
      </w:r>
      <w:r>
        <w:rPr>
          <w:i/>
          <w:sz w:val="24"/>
        </w:rPr>
        <w:t>byR.S.Sharma</w:t>
      </w:r>
    </w:p>
    <w:p w:rsidR="000F7673" w:rsidRDefault="000F7673" w:rsidP="000F7673">
      <w:pPr>
        <w:pStyle w:val="ListParagraph"/>
        <w:numPr>
          <w:ilvl w:val="0"/>
          <w:numId w:val="1"/>
        </w:numPr>
        <w:tabs>
          <w:tab w:val="left" w:pos="457"/>
        </w:tabs>
        <w:spacing w:before="43"/>
        <w:ind w:left="456" w:hanging="357"/>
        <w:rPr>
          <w:i/>
          <w:sz w:val="24"/>
        </w:rPr>
      </w:pPr>
      <w:r>
        <w:rPr>
          <w:i/>
          <w:sz w:val="24"/>
        </w:rPr>
        <w:t>Insurance Principles, Practice and Registration, by M.K.Ghosh&amp; A.</w:t>
      </w:r>
      <w:r>
        <w:rPr>
          <w:i/>
          <w:spacing w:val="-17"/>
          <w:sz w:val="24"/>
        </w:rPr>
        <w:t xml:space="preserve"> </w:t>
      </w:r>
      <w:r>
        <w:rPr>
          <w:i/>
          <w:sz w:val="24"/>
        </w:rPr>
        <w:t>N.Agrawal</w:t>
      </w:r>
    </w:p>
    <w:p w:rsidR="000F7673" w:rsidRDefault="000F7673" w:rsidP="000F7673">
      <w:pPr>
        <w:pStyle w:val="ListParagraph"/>
        <w:numPr>
          <w:ilvl w:val="0"/>
          <w:numId w:val="1"/>
        </w:numPr>
        <w:tabs>
          <w:tab w:val="left" w:pos="514"/>
        </w:tabs>
        <w:spacing w:before="43" w:line="276" w:lineRule="auto"/>
        <w:ind w:right="780" w:firstLine="0"/>
        <w:rPr>
          <w:i/>
          <w:sz w:val="24"/>
        </w:rPr>
      </w:pPr>
      <w:r>
        <w:rPr>
          <w:i/>
          <w:sz w:val="24"/>
        </w:rPr>
        <w:t>Indian</w:t>
      </w:r>
      <w:r>
        <w:rPr>
          <w:i/>
          <w:spacing w:val="-3"/>
          <w:sz w:val="24"/>
        </w:rPr>
        <w:t xml:space="preserve"> </w:t>
      </w:r>
      <w:r>
        <w:rPr>
          <w:i/>
          <w:sz w:val="24"/>
        </w:rPr>
        <w:t>Mutual</w:t>
      </w:r>
      <w:r>
        <w:rPr>
          <w:i/>
          <w:spacing w:val="-5"/>
          <w:sz w:val="24"/>
        </w:rPr>
        <w:t xml:space="preserve"> </w:t>
      </w:r>
      <w:r>
        <w:rPr>
          <w:i/>
          <w:sz w:val="24"/>
        </w:rPr>
        <w:t>Funds</w:t>
      </w:r>
      <w:r>
        <w:rPr>
          <w:i/>
          <w:spacing w:val="-5"/>
          <w:sz w:val="24"/>
        </w:rPr>
        <w:t xml:space="preserve"> </w:t>
      </w:r>
      <w:r>
        <w:rPr>
          <w:i/>
          <w:sz w:val="24"/>
        </w:rPr>
        <w:t>Handbook</w:t>
      </w:r>
      <w:r>
        <w:rPr>
          <w:i/>
          <w:spacing w:val="-2"/>
          <w:sz w:val="24"/>
        </w:rPr>
        <w:t xml:space="preserve"> </w:t>
      </w:r>
      <w:r>
        <w:rPr>
          <w:i/>
          <w:sz w:val="24"/>
        </w:rPr>
        <w:t>5th</w:t>
      </w:r>
      <w:r>
        <w:rPr>
          <w:i/>
          <w:spacing w:val="-2"/>
          <w:sz w:val="24"/>
        </w:rPr>
        <w:t xml:space="preserve"> </w:t>
      </w:r>
      <w:r>
        <w:rPr>
          <w:i/>
          <w:sz w:val="24"/>
        </w:rPr>
        <w:t>Edition:</w:t>
      </w:r>
      <w:r>
        <w:rPr>
          <w:i/>
          <w:spacing w:val="-5"/>
          <w:sz w:val="24"/>
        </w:rPr>
        <w:t xml:space="preserve"> </w:t>
      </w:r>
      <w:r>
        <w:rPr>
          <w:i/>
          <w:sz w:val="24"/>
        </w:rPr>
        <w:t>A</w:t>
      </w:r>
      <w:r>
        <w:rPr>
          <w:i/>
          <w:spacing w:val="-3"/>
          <w:sz w:val="24"/>
        </w:rPr>
        <w:t xml:space="preserve"> </w:t>
      </w:r>
      <w:r>
        <w:rPr>
          <w:i/>
          <w:sz w:val="24"/>
        </w:rPr>
        <w:t>Guide</w:t>
      </w:r>
      <w:r>
        <w:rPr>
          <w:i/>
          <w:spacing w:val="-2"/>
          <w:sz w:val="24"/>
        </w:rPr>
        <w:t xml:space="preserve"> </w:t>
      </w:r>
      <w:r>
        <w:rPr>
          <w:i/>
          <w:sz w:val="24"/>
        </w:rPr>
        <w:t>for</w:t>
      </w:r>
      <w:r>
        <w:rPr>
          <w:i/>
          <w:spacing w:val="-5"/>
          <w:sz w:val="24"/>
        </w:rPr>
        <w:t xml:space="preserve"> </w:t>
      </w:r>
      <w:r>
        <w:rPr>
          <w:i/>
          <w:sz w:val="24"/>
        </w:rPr>
        <w:t>Industry</w:t>
      </w:r>
      <w:r>
        <w:rPr>
          <w:i/>
          <w:spacing w:val="-5"/>
          <w:sz w:val="24"/>
        </w:rPr>
        <w:t xml:space="preserve"> </w:t>
      </w:r>
      <w:r>
        <w:rPr>
          <w:i/>
          <w:sz w:val="24"/>
        </w:rPr>
        <w:t>Professionals</w:t>
      </w:r>
      <w:r>
        <w:rPr>
          <w:i/>
          <w:spacing w:val="-5"/>
          <w:sz w:val="24"/>
        </w:rPr>
        <w:t xml:space="preserve"> </w:t>
      </w:r>
      <w:r>
        <w:rPr>
          <w:i/>
          <w:sz w:val="24"/>
        </w:rPr>
        <w:t>and Intelligent Investors by</w:t>
      </w:r>
      <w:r>
        <w:rPr>
          <w:i/>
          <w:spacing w:val="-8"/>
          <w:sz w:val="24"/>
        </w:rPr>
        <w:t xml:space="preserve"> </w:t>
      </w:r>
      <w:hyperlink r:id="rId5">
        <w:r>
          <w:rPr>
            <w:i/>
            <w:sz w:val="24"/>
          </w:rPr>
          <w:t>SundarSankaran</w:t>
        </w:r>
      </w:hyperlink>
      <w:r>
        <w:rPr>
          <w:i/>
          <w:sz w:val="24"/>
        </w:rPr>
        <w:t>(Author),2018</w:t>
      </w:r>
    </w:p>
    <w:p w:rsidR="000F7673" w:rsidRDefault="000F7673" w:rsidP="000F7673">
      <w:pPr>
        <w:pStyle w:val="BodyText"/>
        <w:spacing w:before="8"/>
        <w:rPr>
          <w:i/>
          <w:sz w:val="22"/>
        </w:rPr>
      </w:pPr>
    </w:p>
    <w:p w:rsidR="000F7673" w:rsidRDefault="000F7673" w:rsidP="000F7673">
      <w:pPr>
        <w:ind w:left="100"/>
        <w:rPr>
          <w:i/>
          <w:sz w:val="24"/>
        </w:rPr>
      </w:pPr>
      <w:r>
        <w:rPr>
          <w:b/>
          <w:i/>
          <w:sz w:val="24"/>
        </w:rPr>
        <w:t xml:space="preserve">For Hire, Purchase and Venture Capital: </w:t>
      </w:r>
      <w:r>
        <w:rPr>
          <w:i/>
          <w:sz w:val="24"/>
        </w:rPr>
        <w:t>M Y Khan: Financial Services (TMH)</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54861"/>
    <w:multiLevelType w:val="hybridMultilevel"/>
    <w:tmpl w:val="E23C9C70"/>
    <w:lvl w:ilvl="0" w:tplc="E72C31D2">
      <w:start w:val="1"/>
      <w:numFmt w:val="decimal"/>
      <w:lvlText w:val="%1."/>
      <w:lvlJc w:val="left"/>
      <w:pPr>
        <w:ind w:left="448" w:hanging="288"/>
        <w:jc w:val="left"/>
      </w:pPr>
      <w:rPr>
        <w:rFonts w:ascii="Calibri" w:eastAsia="Calibri" w:hAnsi="Calibri" w:cs="Calibri" w:hint="default"/>
        <w:i/>
        <w:spacing w:val="-7"/>
        <w:w w:val="100"/>
        <w:sz w:val="24"/>
        <w:szCs w:val="24"/>
        <w:lang w:val="en-US" w:eastAsia="en-US" w:bidi="ar-SA"/>
      </w:rPr>
    </w:lvl>
    <w:lvl w:ilvl="1" w:tplc="C2A844EE">
      <w:numFmt w:val="bullet"/>
      <w:lvlText w:val=""/>
      <w:lvlJc w:val="left"/>
      <w:pPr>
        <w:ind w:left="885" w:hanging="361"/>
      </w:pPr>
      <w:rPr>
        <w:rFonts w:ascii="Symbol" w:eastAsia="Symbol" w:hAnsi="Symbol" w:cs="Symbol" w:hint="default"/>
        <w:w w:val="100"/>
        <w:sz w:val="24"/>
        <w:szCs w:val="24"/>
        <w:lang w:val="en-US" w:eastAsia="en-US" w:bidi="ar-SA"/>
      </w:rPr>
    </w:lvl>
    <w:lvl w:ilvl="2" w:tplc="CDFCDBEC">
      <w:numFmt w:val="bullet"/>
      <w:lvlText w:val="•"/>
      <w:lvlJc w:val="left"/>
      <w:pPr>
        <w:ind w:left="1820" w:hanging="361"/>
      </w:pPr>
      <w:rPr>
        <w:rFonts w:hint="default"/>
        <w:lang w:val="en-US" w:eastAsia="en-US" w:bidi="ar-SA"/>
      </w:rPr>
    </w:lvl>
    <w:lvl w:ilvl="3" w:tplc="6A1C181E">
      <w:numFmt w:val="bullet"/>
      <w:lvlText w:val="•"/>
      <w:lvlJc w:val="left"/>
      <w:pPr>
        <w:ind w:left="2761" w:hanging="361"/>
      </w:pPr>
      <w:rPr>
        <w:rFonts w:hint="default"/>
        <w:lang w:val="en-US" w:eastAsia="en-US" w:bidi="ar-SA"/>
      </w:rPr>
    </w:lvl>
    <w:lvl w:ilvl="4" w:tplc="AC68981E">
      <w:numFmt w:val="bullet"/>
      <w:lvlText w:val="•"/>
      <w:lvlJc w:val="left"/>
      <w:pPr>
        <w:ind w:left="3702" w:hanging="361"/>
      </w:pPr>
      <w:rPr>
        <w:rFonts w:hint="default"/>
        <w:lang w:val="en-US" w:eastAsia="en-US" w:bidi="ar-SA"/>
      </w:rPr>
    </w:lvl>
    <w:lvl w:ilvl="5" w:tplc="4D44BDCE">
      <w:numFmt w:val="bullet"/>
      <w:lvlText w:val="•"/>
      <w:lvlJc w:val="left"/>
      <w:pPr>
        <w:ind w:left="4643" w:hanging="361"/>
      </w:pPr>
      <w:rPr>
        <w:rFonts w:hint="default"/>
        <w:lang w:val="en-US" w:eastAsia="en-US" w:bidi="ar-SA"/>
      </w:rPr>
    </w:lvl>
    <w:lvl w:ilvl="6" w:tplc="16D8DA76">
      <w:numFmt w:val="bullet"/>
      <w:lvlText w:val="•"/>
      <w:lvlJc w:val="left"/>
      <w:pPr>
        <w:ind w:left="5584" w:hanging="361"/>
      </w:pPr>
      <w:rPr>
        <w:rFonts w:hint="default"/>
        <w:lang w:val="en-US" w:eastAsia="en-US" w:bidi="ar-SA"/>
      </w:rPr>
    </w:lvl>
    <w:lvl w:ilvl="7" w:tplc="7A3A8780">
      <w:numFmt w:val="bullet"/>
      <w:lvlText w:val="•"/>
      <w:lvlJc w:val="left"/>
      <w:pPr>
        <w:ind w:left="6525" w:hanging="361"/>
      </w:pPr>
      <w:rPr>
        <w:rFonts w:hint="default"/>
        <w:lang w:val="en-US" w:eastAsia="en-US" w:bidi="ar-SA"/>
      </w:rPr>
    </w:lvl>
    <w:lvl w:ilvl="8" w:tplc="B8E2434C">
      <w:numFmt w:val="bullet"/>
      <w:lvlText w:val="•"/>
      <w:lvlJc w:val="left"/>
      <w:pPr>
        <w:ind w:left="7466" w:hanging="361"/>
      </w:pPr>
      <w:rPr>
        <w:rFonts w:hint="default"/>
        <w:lang w:val="en-US" w:eastAsia="en-US" w:bidi="ar-SA"/>
      </w:rPr>
    </w:lvl>
  </w:abstractNum>
  <w:abstractNum w:abstractNumId="1">
    <w:nsid w:val="5B8961CA"/>
    <w:multiLevelType w:val="hybridMultilevel"/>
    <w:tmpl w:val="B41C4240"/>
    <w:lvl w:ilvl="0" w:tplc="264A5BF4">
      <w:start w:val="1"/>
      <w:numFmt w:val="decimal"/>
      <w:lvlText w:val="%1."/>
      <w:lvlJc w:val="left"/>
      <w:pPr>
        <w:ind w:left="100" w:hanging="255"/>
        <w:jc w:val="left"/>
      </w:pPr>
      <w:rPr>
        <w:rFonts w:ascii="Calibri" w:eastAsia="Calibri" w:hAnsi="Calibri" w:cs="Calibri" w:hint="default"/>
        <w:i/>
        <w:spacing w:val="-2"/>
        <w:w w:val="100"/>
        <w:sz w:val="24"/>
        <w:szCs w:val="24"/>
        <w:lang w:val="en-US" w:eastAsia="en-US" w:bidi="ar-SA"/>
      </w:rPr>
    </w:lvl>
    <w:lvl w:ilvl="1" w:tplc="04406CA8">
      <w:numFmt w:val="bullet"/>
      <w:lvlText w:val=""/>
      <w:lvlJc w:val="left"/>
      <w:pPr>
        <w:ind w:left="821" w:hanging="361"/>
      </w:pPr>
      <w:rPr>
        <w:rFonts w:ascii="Symbol" w:eastAsia="Symbol" w:hAnsi="Symbol" w:cs="Symbol" w:hint="default"/>
        <w:w w:val="100"/>
        <w:sz w:val="24"/>
        <w:szCs w:val="24"/>
        <w:lang w:val="en-US" w:eastAsia="en-US" w:bidi="ar-SA"/>
      </w:rPr>
    </w:lvl>
    <w:lvl w:ilvl="2" w:tplc="01FC6F5A">
      <w:numFmt w:val="bullet"/>
      <w:lvlText w:val="•"/>
      <w:lvlJc w:val="left"/>
      <w:pPr>
        <w:ind w:left="1758" w:hanging="361"/>
      </w:pPr>
      <w:rPr>
        <w:rFonts w:hint="default"/>
        <w:lang w:val="en-US" w:eastAsia="en-US" w:bidi="ar-SA"/>
      </w:rPr>
    </w:lvl>
    <w:lvl w:ilvl="3" w:tplc="6F86F504">
      <w:numFmt w:val="bullet"/>
      <w:lvlText w:val="•"/>
      <w:lvlJc w:val="left"/>
      <w:pPr>
        <w:ind w:left="2697" w:hanging="361"/>
      </w:pPr>
      <w:rPr>
        <w:rFonts w:hint="default"/>
        <w:lang w:val="en-US" w:eastAsia="en-US" w:bidi="ar-SA"/>
      </w:rPr>
    </w:lvl>
    <w:lvl w:ilvl="4" w:tplc="6446507E">
      <w:numFmt w:val="bullet"/>
      <w:lvlText w:val="•"/>
      <w:lvlJc w:val="left"/>
      <w:pPr>
        <w:ind w:left="3636" w:hanging="361"/>
      </w:pPr>
      <w:rPr>
        <w:rFonts w:hint="default"/>
        <w:lang w:val="en-US" w:eastAsia="en-US" w:bidi="ar-SA"/>
      </w:rPr>
    </w:lvl>
    <w:lvl w:ilvl="5" w:tplc="7C707570">
      <w:numFmt w:val="bullet"/>
      <w:lvlText w:val="•"/>
      <w:lvlJc w:val="left"/>
      <w:pPr>
        <w:ind w:left="4575" w:hanging="361"/>
      </w:pPr>
      <w:rPr>
        <w:rFonts w:hint="default"/>
        <w:lang w:val="en-US" w:eastAsia="en-US" w:bidi="ar-SA"/>
      </w:rPr>
    </w:lvl>
    <w:lvl w:ilvl="6" w:tplc="EC5E5D44">
      <w:numFmt w:val="bullet"/>
      <w:lvlText w:val="•"/>
      <w:lvlJc w:val="left"/>
      <w:pPr>
        <w:ind w:left="5513" w:hanging="361"/>
      </w:pPr>
      <w:rPr>
        <w:rFonts w:hint="default"/>
        <w:lang w:val="en-US" w:eastAsia="en-US" w:bidi="ar-SA"/>
      </w:rPr>
    </w:lvl>
    <w:lvl w:ilvl="7" w:tplc="781AFCDC">
      <w:numFmt w:val="bullet"/>
      <w:lvlText w:val="•"/>
      <w:lvlJc w:val="left"/>
      <w:pPr>
        <w:ind w:left="6452" w:hanging="361"/>
      </w:pPr>
      <w:rPr>
        <w:rFonts w:hint="default"/>
        <w:lang w:val="en-US" w:eastAsia="en-US" w:bidi="ar-SA"/>
      </w:rPr>
    </w:lvl>
    <w:lvl w:ilvl="8" w:tplc="21D0A4B4">
      <w:numFmt w:val="bullet"/>
      <w:lvlText w:val="•"/>
      <w:lvlJc w:val="left"/>
      <w:pPr>
        <w:ind w:left="7391"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73"/>
    <w:rsid w:val="000F7673"/>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817E1-E75B-4C6A-9CC5-0D180BA3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7673"/>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0F7673"/>
    <w:pPr>
      <w:spacing w:before="1"/>
      <w:ind w:left="1607" w:right="1481"/>
      <w:jc w:val="center"/>
      <w:outlineLvl w:val="2"/>
    </w:pPr>
    <w:rPr>
      <w:b/>
      <w:bCs/>
      <w:sz w:val="36"/>
      <w:szCs w:val="36"/>
    </w:rPr>
  </w:style>
  <w:style w:type="paragraph" w:styleId="Heading4">
    <w:name w:val="heading 4"/>
    <w:basedOn w:val="Normal"/>
    <w:link w:val="Heading4Char"/>
    <w:uiPriority w:val="1"/>
    <w:qFormat/>
    <w:rsid w:val="000F7673"/>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0F7673"/>
    <w:pPr>
      <w:spacing w:before="258"/>
      <w:ind w:left="540"/>
      <w:outlineLvl w:val="5"/>
    </w:pPr>
    <w:rPr>
      <w:b/>
      <w:bCs/>
      <w:sz w:val="28"/>
      <w:szCs w:val="28"/>
    </w:rPr>
  </w:style>
  <w:style w:type="paragraph" w:styleId="Heading7">
    <w:name w:val="heading 7"/>
    <w:basedOn w:val="Normal"/>
    <w:link w:val="Heading7Char"/>
    <w:uiPriority w:val="1"/>
    <w:qFormat/>
    <w:rsid w:val="000F7673"/>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F7673"/>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0F7673"/>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0F7673"/>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0F7673"/>
    <w:rPr>
      <w:rFonts w:ascii="Calibri" w:eastAsia="Calibri" w:hAnsi="Calibri" w:cs="Calibri"/>
      <w:b/>
      <w:bCs/>
      <w:sz w:val="24"/>
      <w:szCs w:val="24"/>
      <w:lang w:val="en-US"/>
    </w:rPr>
  </w:style>
  <w:style w:type="paragraph" w:styleId="BodyText">
    <w:name w:val="Body Text"/>
    <w:basedOn w:val="Normal"/>
    <w:link w:val="BodyTextChar"/>
    <w:uiPriority w:val="1"/>
    <w:qFormat/>
    <w:rsid w:val="000F7673"/>
    <w:rPr>
      <w:sz w:val="24"/>
      <w:szCs w:val="24"/>
    </w:rPr>
  </w:style>
  <w:style w:type="character" w:customStyle="1" w:styleId="BodyTextChar">
    <w:name w:val="Body Text Char"/>
    <w:basedOn w:val="DefaultParagraphFont"/>
    <w:link w:val="BodyText"/>
    <w:uiPriority w:val="1"/>
    <w:rsid w:val="000F7673"/>
    <w:rPr>
      <w:rFonts w:ascii="Calibri" w:eastAsia="Calibri" w:hAnsi="Calibri" w:cs="Calibri"/>
      <w:sz w:val="24"/>
      <w:szCs w:val="24"/>
      <w:lang w:val="en-US"/>
    </w:rPr>
  </w:style>
  <w:style w:type="paragraph" w:styleId="ListParagraph">
    <w:name w:val="List Paragraph"/>
    <w:basedOn w:val="Normal"/>
    <w:uiPriority w:val="1"/>
    <w:qFormat/>
    <w:rsid w:val="000F7673"/>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in/s/ref%3Ddp_byline_sr_book_1?ie=UTF8&amp;amp%3Bfield-author=Sundar%2BSankaran&amp;amp%3Bsearch-alias=strip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2021-02-02T15:50:00Z</dcterms:created>
  <dcterms:modified xsi:type="dcterms:W3CDTF">2021-02-02T15:51:00Z</dcterms:modified>
</cp:coreProperties>
</file>